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BC" w:rsidRPr="00B53BA7" w:rsidRDefault="005731BC" w:rsidP="00901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53BA7">
        <w:rPr>
          <w:rFonts w:ascii="Times New Roman" w:hAnsi="Times New Roman" w:cs="Times New Roman"/>
          <w:b/>
          <w:bCs/>
          <w:sz w:val="26"/>
          <w:szCs w:val="26"/>
        </w:rPr>
        <w:t xml:space="preserve">Часть 2 </w:t>
      </w:r>
      <w:r w:rsidR="009F0224" w:rsidRPr="00B53BA7">
        <w:rPr>
          <w:rFonts w:ascii="Times New Roman" w:hAnsi="Times New Roman" w:cs="Times New Roman"/>
          <w:b/>
          <w:bCs/>
          <w:sz w:val="26"/>
          <w:szCs w:val="26"/>
        </w:rPr>
        <w:t>Требов</w:t>
      </w:r>
      <w:r w:rsidR="00B40257" w:rsidRPr="00B53BA7">
        <w:rPr>
          <w:rFonts w:ascii="Times New Roman" w:hAnsi="Times New Roman" w:cs="Times New Roman"/>
          <w:b/>
          <w:bCs/>
          <w:sz w:val="26"/>
          <w:szCs w:val="26"/>
        </w:rPr>
        <w:t xml:space="preserve">ания к выполнению </w:t>
      </w:r>
    </w:p>
    <w:p w:rsidR="005731BC" w:rsidRPr="00B53BA7" w:rsidRDefault="005731BC" w:rsidP="00901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53BA7">
        <w:rPr>
          <w:rFonts w:ascii="Times New Roman" w:hAnsi="Times New Roman" w:cs="Times New Roman"/>
          <w:b/>
          <w:bCs/>
          <w:sz w:val="26"/>
          <w:szCs w:val="26"/>
        </w:rPr>
        <w:t>строительно-монтажных работ</w:t>
      </w:r>
      <w:r w:rsidR="00F4378B">
        <w:rPr>
          <w:rFonts w:ascii="Times New Roman" w:hAnsi="Times New Roman" w:cs="Times New Roman"/>
          <w:b/>
          <w:bCs/>
          <w:sz w:val="26"/>
          <w:szCs w:val="26"/>
        </w:rPr>
        <w:t xml:space="preserve">, с поставкой </w:t>
      </w:r>
      <w:r w:rsidR="000C7C72">
        <w:rPr>
          <w:rFonts w:ascii="Times New Roman" w:hAnsi="Times New Roman" w:cs="Times New Roman"/>
          <w:b/>
          <w:bCs/>
          <w:sz w:val="26"/>
          <w:szCs w:val="26"/>
        </w:rPr>
        <w:t>материалов</w:t>
      </w:r>
      <w:r w:rsidRPr="00B53B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533AF" w:rsidRPr="00B53BA7">
        <w:rPr>
          <w:rFonts w:ascii="Times New Roman" w:hAnsi="Times New Roman" w:cs="Times New Roman"/>
          <w:b/>
          <w:bCs/>
          <w:sz w:val="26"/>
          <w:szCs w:val="26"/>
        </w:rPr>
        <w:t>по объекту</w:t>
      </w:r>
      <w:r w:rsidR="0090156C" w:rsidRPr="00B53BA7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93540F" w:rsidRPr="00B53B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040A5" w:rsidRPr="000C59E4" w:rsidRDefault="00F040A5" w:rsidP="0047619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47619F" w:rsidRPr="00F01B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Замена подземных трубопроводов подпитки теплосети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на ТЭЦ-26 – филиале ПАО «Мосэнерго».</w:t>
      </w:r>
    </w:p>
    <w:p w:rsidR="0090156C" w:rsidRPr="00B53BA7" w:rsidRDefault="0090156C" w:rsidP="00901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156C" w:rsidRPr="00B53BA7" w:rsidRDefault="0090156C" w:rsidP="000C7C72">
      <w:pPr>
        <w:spacing w:after="0" w:line="240" w:lineRule="auto"/>
        <w:ind w:left="360" w:firstLine="360"/>
        <w:rPr>
          <w:rFonts w:ascii="Times New Roman" w:hAnsi="Times New Roman" w:cs="Times New Roman"/>
          <w:sz w:val="26"/>
          <w:szCs w:val="26"/>
        </w:rPr>
      </w:pPr>
      <w:r w:rsidRPr="00B53BA7">
        <w:rPr>
          <w:rFonts w:ascii="Times New Roman" w:eastAsia="Times New Roman" w:hAnsi="Times New Roman" w:cs="Times New Roman"/>
          <w:sz w:val="26"/>
          <w:szCs w:val="26"/>
        </w:rPr>
        <w:t xml:space="preserve">                 Номер инвестиционного проекта  № </w:t>
      </w:r>
      <w:r w:rsidR="0047619F" w:rsidRPr="00F01B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M-2G2647-000037</w:t>
      </w:r>
    </w:p>
    <w:tbl>
      <w:tblPr>
        <w:tblpPr w:leftFromText="180" w:rightFromText="180" w:vertAnchor="text" w:tblpY="1"/>
        <w:tblOverlap w:val="never"/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43"/>
        <w:gridCol w:w="2009"/>
        <w:gridCol w:w="7655"/>
      </w:tblGrid>
      <w:tr w:rsidR="00B857B3" w:rsidRPr="00B53BA7" w:rsidTr="00D34526">
        <w:trPr>
          <w:trHeight w:val="840"/>
        </w:trPr>
        <w:tc>
          <w:tcPr>
            <w:tcW w:w="543" w:type="dxa"/>
            <w:shd w:val="clear" w:color="auto" w:fill="FFFFFF" w:themeFill="background1"/>
            <w:noWrap/>
            <w:vAlign w:val="center"/>
            <w:hideMark/>
          </w:tcPr>
          <w:p w:rsidR="00B857B3" w:rsidRPr="00B53BA7" w:rsidRDefault="00B857B3" w:rsidP="00BE124B">
            <w:pP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53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B53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B53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009" w:type="dxa"/>
            <w:shd w:val="clear" w:color="auto" w:fill="FFFFFF" w:themeFill="background1"/>
            <w:vAlign w:val="center"/>
            <w:hideMark/>
          </w:tcPr>
          <w:p w:rsidR="00B857B3" w:rsidRPr="00B53BA7" w:rsidRDefault="00B857B3" w:rsidP="00BE124B">
            <w:pP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53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Перечень основных требований</w:t>
            </w:r>
          </w:p>
        </w:tc>
        <w:tc>
          <w:tcPr>
            <w:tcW w:w="7655" w:type="dxa"/>
            <w:shd w:val="clear" w:color="auto" w:fill="FFFFFF" w:themeFill="background1"/>
            <w:vAlign w:val="center"/>
            <w:hideMark/>
          </w:tcPr>
          <w:p w:rsidR="00B857B3" w:rsidRPr="00B53BA7" w:rsidRDefault="00B857B3" w:rsidP="00BE124B">
            <w:pP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53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Содержание требования</w:t>
            </w:r>
          </w:p>
        </w:tc>
      </w:tr>
      <w:tr w:rsidR="00B857B3" w:rsidRPr="00B53BA7" w:rsidTr="00D34526">
        <w:trPr>
          <w:trHeight w:val="900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B857B3" w:rsidRPr="00B53BA7" w:rsidRDefault="00B857B3" w:rsidP="00061D07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B857B3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Вид строительства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B857B3" w:rsidRPr="00F040A5" w:rsidRDefault="00F040A5" w:rsidP="00F040A5">
            <w:pPr>
              <w:pStyle w:val="a3"/>
              <w:spacing w:after="0" w:line="240" w:lineRule="auto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F040A5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B857B3" w:rsidRPr="00F040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Реконструкция</w:t>
            </w:r>
            <w:r w:rsidRPr="00F040A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B857B3" w:rsidRPr="009612F4" w:rsidRDefault="00B857B3" w:rsidP="009612F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B84DF5" w:rsidRPr="00B53BA7" w:rsidTr="00D34526">
        <w:trPr>
          <w:trHeight w:val="900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B84DF5" w:rsidRPr="00B53BA7" w:rsidRDefault="00977715" w:rsidP="00061D07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B84DF5" w:rsidRPr="00B53BA7" w:rsidRDefault="00977715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Требования к оформлению документации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977715" w:rsidRPr="00B53BA7" w:rsidRDefault="00977715" w:rsidP="00977715">
            <w:pPr>
              <w:pStyle w:val="a4"/>
              <w:numPr>
                <w:ilvl w:val="0"/>
                <w:numId w:val="5"/>
              </w:numPr>
              <w:spacing w:after="0"/>
              <w:ind w:left="34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Состав и порядок ведения исполнительной документации должен соответствовать:</w:t>
            </w:r>
          </w:p>
          <w:p w:rsidR="00977715" w:rsidRPr="00B53BA7" w:rsidRDefault="00977715" w:rsidP="00977715">
            <w:pPr>
              <w:pStyle w:val="ConsPlusTitle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 xml:space="preserve">РД-11-02-2006  «Требования к составу и порядку ведения исполнительной документации» (приказ № 1128 Федеральной службы по экологическому, технологическому и атомному надзору от 26.12.06 г.);  </w:t>
            </w:r>
          </w:p>
          <w:p w:rsidR="00977715" w:rsidRPr="00B53BA7" w:rsidRDefault="00977715" w:rsidP="00977715">
            <w:pPr>
              <w:pStyle w:val="ConsPlusTitle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СНиП 12-01-2004 "Организация строительства" (постановление Госстроя России № 70 от 19.04.04 г.);</w:t>
            </w:r>
          </w:p>
          <w:p w:rsidR="00977715" w:rsidRPr="00B53BA7" w:rsidRDefault="00977715" w:rsidP="00977715">
            <w:pPr>
              <w:pStyle w:val="ConsPlusTitle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СНиП 3.01.04-87 «Приемка в эксплуатацию законченных строительством объектов» (постановление Госстроя СССР №84 от 2.04.87 г.)</w:t>
            </w:r>
          </w:p>
          <w:p w:rsidR="00B84DF5" w:rsidRPr="00B53BA7" w:rsidRDefault="00B84DF5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</w:tr>
      <w:tr w:rsidR="00B857B3" w:rsidRPr="00B53BA7" w:rsidTr="00D34526">
        <w:trPr>
          <w:trHeight w:val="55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857B3" w:rsidRPr="00B53BA7" w:rsidRDefault="00B857B3" w:rsidP="00061D07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  <w:r w:rsidR="00C65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977715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Требование к исполнителю работ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7C29" w:rsidRPr="00276F61" w:rsidRDefault="008F7C29" w:rsidP="008F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1.Требования к Исполнителю работ:</w:t>
            </w:r>
          </w:p>
          <w:p w:rsidR="008F7C29" w:rsidRPr="00276F61" w:rsidRDefault="008F7C29" w:rsidP="008F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1.1. Участник в своем предложении должен указывать объемы работ, которые будут выполняться собственными силами Исполнителя и привлекаемыми организациями для выполнения работ на субподряде. </w:t>
            </w:r>
          </w:p>
          <w:p w:rsidR="008F7C29" w:rsidRPr="00733987" w:rsidRDefault="008F7C29" w:rsidP="008F7C29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1.2. В соответствии с пунктом 2 статьи 52 Градостроительного кодекса Российской Федерации виды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должны выполняться только индивидуальными </w:t>
            </w:r>
            <w:r w:rsidRPr="00D40D3D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предпринимателями или юридическими лицами, имеющими выданные саморегулируемой организацией (СРО) свидетельства о допуске к таким видам работ.  Участнику необходимо приложить копию СРО к заявке.</w:t>
            </w:r>
          </w:p>
          <w:p w:rsidR="008F7C29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1.3.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Участник должен представить справку о наличии квалифицированного административно - технического  и 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линейного  персонала собственного или привлекаемого в качестве субподрядчиков.</w:t>
            </w:r>
          </w:p>
          <w:p w:rsidR="008F7C29" w:rsidRPr="00276F61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2069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0320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Участниками открытого запроса предложений могут быть только субъекты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8F7C29" w:rsidRPr="00D70096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D1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9C2D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Участник должен обладать опытом выполнения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строительно-монтажных работ на объектах теплоэнергетики, в части замены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трубопроводов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иметь необходимую производственную базу. Участнику необходимо к заявке приложить копию договоров, выполняемых ранее или отзывы о выполнении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строительно-монтажных работ на объектах теплоэнергетики, в части замены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трубопроводов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8F7C29" w:rsidRPr="00D70096" w:rsidRDefault="008F7C29" w:rsidP="008F7C29">
            <w:pPr>
              <w:pStyle w:val="a3"/>
              <w:spacing w:after="0" w:line="240" w:lineRule="auto"/>
              <w:ind w:left="0"/>
            </w:pPr>
            <w:r w:rsidRPr="009C2D1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9C2D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Осуществление участниками закупки за последние три года, предшествующих дате окончания срока подачи заявок на участие в конкурентной закупке </w:t>
            </w:r>
            <w:r w:rsidRPr="009C2D1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выполнение </w:t>
            </w:r>
            <w:r w:rsidRPr="009C2D14">
              <w:rPr>
                <w:rFonts w:ascii="Times New Roman" w:hAnsi="Times New Roman" w:cs="Times New Roman"/>
                <w:bCs/>
                <w:sz w:val="26"/>
                <w:szCs w:val="26"/>
              </w:rPr>
              <w:t>строительно-монтажных рабо</w:t>
            </w:r>
            <w:r w:rsidRPr="00A84050"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объектах теплоэнергетики, в части замены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трубопроводов</w:t>
            </w:r>
            <w:r w:rsidRPr="00A8405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C2D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Участнику необходимо к заявке приложить копию договоров, выполняемых ранее или отзывы о выполнении  </w:t>
            </w:r>
            <w:r w:rsidRPr="009C2D14">
              <w:rPr>
                <w:rFonts w:ascii="Times New Roman" w:hAnsi="Times New Roman" w:cs="Times New Roman"/>
                <w:bCs/>
                <w:sz w:val="26"/>
                <w:szCs w:val="26"/>
              </w:rPr>
              <w:t>строительно-монтажных работ</w:t>
            </w:r>
            <w:r w:rsidR="004512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512EC">
              <w:rPr>
                <w:rFonts w:ascii="Times New Roman" w:hAnsi="Times New Roman" w:cs="Times New Roman"/>
                <w:bCs/>
                <w:sz w:val="26"/>
                <w:szCs w:val="26"/>
              </w:rPr>
              <w:t>на объектах теплоэнергетики, в части замены трубопроводов</w:t>
            </w:r>
            <w:r w:rsidRPr="009C2D14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9C2D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8F7C29" w:rsidRPr="00276F61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. Участник процедуры в своем предложении в обязательном порядке должен раскрыть информацию о заводах-изготовителях поставляемого оборудования</w:t>
            </w:r>
            <w:r w:rsidR="004512EC">
              <w:rPr>
                <w:rFonts w:ascii="Times New Roman" w:eastAsia="Times New Roman" w:hAnsi="Times New Roman" w:cs="Times New Roman"/>
                <w:sz w:val="26"/>
                <w:szCs w:val="26"/>
              </w:rPr>
              <w:t>/материалов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8F7C29" w:rsidRPr="00276F61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. Коммерческая часть предложения участника должна обязательно предусматривать попозиционную ц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еновую расшифровку материалов.</w:t>
            </w:r>
          </w:p>
          <w:p w:rsidR="008F7C29" w:rsidRPr="00C86CC4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1.9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Стоимость транспортировки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материалов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предложении участника должна быть включена в стоимость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материалов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8F7C29" w:rsidRPr="00923121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1.10. </w:t>
            </w:r>
            <w:r w:rsidRPr="00C86CC4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 если объем и характер работ по реконструкции (модернизации) предусматривает изменение конструкции основных элементов и технических характеристик оборудования, создающих необходимость оформления нового паспорта и руководства (инструкции) по эксплуатации, то после окончания работ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исполнителем</w:t>
            </w:r>
            <w:r w:rsidRPr="00C86CC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должно быть обеспечено подтверждение соответствия оборудования требованиям </w:t>
            </w:r>
            <w:proofErr w:type="gramStart"/>
            <w:r w:rsidRPr="00C86CC4">
              <w:rPr>
                <w:rFonts w:ascii="Times New Roman" w:eastAsia="Times New Roman" w:hAnsi="Times New Roman" w:cs="Times New Roman"/>
                <w:sz w:val="26"/>
                <w:szCs w:val="26"/>
              </w:rPr>
              <w:t>ТР</w:t>
            </w:r>
            <w:proofErr w:type="gramEnd"/>
            <w:r w:rsidRPr="00C86CC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ТС 032/2013 с последующим вводом в эксплуатацию в соответств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ии с требованиями настоящих ФНП</w:t>
            </w:r>
            <w:r w:rsidRPr="00923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п. 1.8. раздела 2.4</w:t>
            </w:r>
            <w:r w:rsidRPr="00923121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:rsidR="008F7C29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1.11</w:t>
            </w:r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. Участник закупки и его соисполнители (</w:t>
            </w:r>
            <w:proofErr w:type="gramStart"/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субподрядчиках</w:t>
            </w:r>
            <w:proofErr w:type="gramEnd"/>
            <w:r w:rsidRPr="00276F61">
              <w:rPr>
                <w:rFonts w:ascii="Times New Roman" w:eastAsia="Times New Roman" w:hAnsi="Times New Roman" w:cs="Times New Roman"/>
                <w:sz w:val="26"/>
                <w:szCs w:val="26"/>
              </w:rPr>
              <w:t>) должны отсутствовать 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Федерации. </w:t>
            </w:r>
          </w:p>
          <w:p w:rsidR="00B857B3" w:rsidRPr="007E6A99" w:rsidRDefault="008F7C29" w:rsidP="008F7C2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1.12.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Индексы пересчета от базовых цен к текущим ценам не должны превышать индексы, рекомендованные </w:t>
            </w:r>
            <w:r>
              <w:rPr>
                <w:rFonts w:ascii="Times New Roman" w:hAnsi="Times New Roman"/>
                <w:sz w:val="24"/>
                <w:szCs w:val="24"/>
              </w:rPr>
              <w:t>Министерством строительства и жилищно-коммунального хозяйства РФ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Кпир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=3,68, Кобр =3,92,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Ксмр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= 6,94,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Кпнр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= 6,79.  Индексы остаются неизменными на весь период выполнения работ.</w:t>
            </w:r>
          </w:p>
        </w:tc>
      </w:tr>
      <w:tr w:rsidR="00B857B3" w:rsidRPr="00B53BA7" w:rsidTr="00D34526">
        <w:trPr>
          <w:trHeight w:val="413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857B3" w:rsidRPr="00B53BA7" w:rsidRDefault="00B857B3" w:rsidP="00061D07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2.</w:t>
            </w:r>
            <w:r w:rsidR="00C65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B857B3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Требования  к выполнению работ и их приемке.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5663" w:rsidRDefault="00977715" w:rsidP="00695663">
            <w:pPr>
              <w:pStyle w:val="ad"/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7E6A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Требования к выполнению СМР.</w:t>
            </w:r>
          </w:p>
          <w:p w:rsidR="00B857B3" w:rsidRPr="00B53BA7" w:rsidRDefault="00977715" w:rsidP="00E327F7">
            <w:pPr>
              <w:pStyle w:val="ad"/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6956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Start"/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порядке, предусмотренном пунктом 2 статьи 747 ГК РФ, Заказчик</w:t>
            </w:r>
            <w:r w:rsidR="00AC6EA0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обязуется обеспечить Исполнителя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электроэнергией, </w:t>
            </w:r>
            <w:r w:rsidR="004326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технической водой и паром, необходимыми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выполнения Работ. </w:t>
            </w:r>
            <w:r w:rsidR="004326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 расчетах за выполненные Исполнителем работы, из сметы исключается стоимость электроэнергии (технической воды, пара). Указанная стоимость </w:t>
            </w:r>
            <w:r w:rsidR="001C15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относится</w:t>
            </w:r>
            <w:r w:rsidR="004326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затраты Заказчика.</w:t>
            </w:r>
          </w:p>
          <w:p w:rsidR="00FE539C" w:rsidRDefault="00977715" w:rsidP="00E327F7">
            <w:pPr>
              <w:pStyle w:val="ad"/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6956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Демонтированное оборудование </w:t>
            </w:r>
            <w:r w:rsidR="00FE539C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подвергается сепарации и 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складируется  подрядной организацией на</w:t>
            </w:r>
            <w:r w:rsidR="00FE539C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площадку указанную Заказчиком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территории филиала; дальнейший </w:t>
            </w:r>
            <w:r w:rsidR="00FE539C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вывоз металлолома 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</w:t>
            </w:r>
            <w:r w:rsidR="00FE539C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водится Заказчиком</w:t>
            </w:r>
            <w:r w:rsidR="00FE539C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</w:p>
          <w:p w:rsidR="00FE539C" w:rsidRPr="00B53BA7" w:rsidRDefault="00A12A1E" w:rsidP="00E16E72">
            <w:pPr>
              <w:pStyle w:val="ad"/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="008A52DA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епарировать демонтированное оборудование и </w:t>
            </w:r>
            <w:r w:rsidR="00166775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конструкции</w:t>
            </w:r>
            <w:r w:rsidR="008A52DA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транспортировать </w:t>
            </w:r>
            <w:r w:rsidR="00166775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весь</w:t>
            </w:r>
            <w:r w:rsidR="008A52DA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металлолом на площадку, согласованную заказчиком.</w:t>
            </w:r>
            <w:r w:rsidR="008A52DA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  <w:t xml:space="preserve"> </w:t>
            </w:r>
          </w:p>
          <w:p w:rsidR="00B857B3" w:rsidRPr="00E16E72" w:rsidRDefault="00977715" w:rsidP="00E3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B857B3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95663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B857B3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График выполнения работ составляется с привязкой к плановым срокам вывода  в ремонт оборудования  филиала</w:t>
            </w:r>
            <w:r w:rsidR="00E16E72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B857B3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A72AAF" w:rsidRPr="00B53BA7" w:rsidRDefault="00977715" w:rsidP="00E3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72AAF"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9566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A72AAF"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Проект производства работ (ППР) выполняется Исполнителем</w:t>
            </w:r>
            <w:r w:rsidR="0032207F"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без дополнительной оплаты;</w:t>
            </w:r>
          </w:p>
          <w:p w:rsidR="00B857B3" w:rsidRPr="00B53BA7" w:rsidRDefault="00977715" w:rsidP="00BA7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72AAF"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9566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B857B3"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Порядок выполнения приемо-сдаточных работ: </w:t>
            </w:r>
          </w:p>
          <w:p w:rsidR="00B857B3" w:rsidRDefault="00B857B3" w:rsidP="00977715">
            <w:pPr>
              <w:pStyle w:val="a3"/>
              <w:numPr>
                <w:ilvl w:val="2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приемка в эксплуатацию оборудования и сооружений производится в соответствии с СО 153-34.20.501-2003 «Правила технической эксплуатации электрических станций и сетей Российской Федерации», приказ №229  Минэнерго России от 19.06.03г. </w:t>
            </w:r>
          </w:p>
          <w:p w:rsidR="00B857B3" w:rsidRPr="00B53BA7" w:rsidRDefault="00B857B3" w:rsidP="00977715">
            <w:pPr>
              <w:pStyle w:val="a3"/>
              <w:numPr>
                <w:ilvl w:val="2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объект сдается в эксплуатацию с  предоставлением паспортов, сертификатов и свидетельств на материалы и оборудование;</w:t>
            </w:r>
          </w:p>
          <w:p w:rsidR="007F3042" w:rsidRPr="00166775" w:rsidRDefault="00166775" w:rsidP="00977715">
            <w:pPr>
              <w:pStyle w:val="a3"/>
              <w:numPr>
                <w:ilvl w:val="2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44C">
              <w:rPr>
                <w:rFonts w:ascii="Times New Roman" w:eastAsia="Times New Roman" w:hAnsi="Times New Roman" w:cs="Times New Roman"/>
                <w:sz w:val="26"/>
                <w:szCs w:val="26"/>
              </w:rPr>
              <w:t>Коэффициенты</w:t>
            </w:r>
            <w:r w:rsidR="007F3042" w:rsidRPr="006C44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реконструкцию 1,15 к нормам затрат труда и 1,25 к нормам времени эксплуатации строительных машин не применять</w:t>
            </w:r>
            <w:r w:rsidR="006C444C" w:rsidRPr="006C444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743E77" w:rsidRPr="00E16E72" w:rsidRDefault="00C86CC4" w:rsidP="00743E77">
            <w:pPr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1.7 </w:t>
            </w:r>
            <w:r w:rsidR="00743E77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Работы организуются в соответствии с требованиями СО 34.04.181-2003,. Правил по охране труда при эксплуатации электроустановок утв. Минтруда 24.07.2013 № 328н (введены с 13.07.2014), Правил </w:t>
            </w:r>
            <w:r w:rsidR="00152DCA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противо</w:t>
            </w:r>
            <w:r w:rsidR="00743E77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пожарного режима в РФ, утв. Постановлением Правительства РФ от 25.04.2012, Правил </w:t>
            </w:r>
            <w:r w:rsidR="00743E77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пожарной безопасности для энергетических предприятий РД  153-34.0-03.301-00 (ВППБ 01-02-95), Правил устройства электроустановок (ПУЭ) и другой действующей НТД.</w:t>
            </w:r>
            <w:proofErr w:type="gramEnd"/>
          </w:p>
          <w:p w:rsidR="00C86CC4" w:rsidRPr="00744D92" w:rsidRDefault="007B096B" w:rsidP="00C86CC4">
            <w:pPr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096B"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  <w:proofErr w:type="gramStart"/>
            <w:r w:rsidRPr="007B096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ри выполнении работ руководствоваться </w:t>
            </w:r>
            <w:r w:rsidRPr="007B096B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ом</w:t>
            </w:r>
            <w:r w:rsidRPr="007B096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B096B">
              <w:rPr>
                <w:rFonts w:ascii="Times New Roman" w:eastAsia="Times New Roman" w:hAnsi="Times New Roman" w:cs="Times New Roman"/>
                <w:sz w:val="26"/>
                <w:szCs w:val="26"/>
              </w:rPr>
              <w:t>Ростехнадзора</w:t>
            </w:r>
            <w:proofErr w:type="spellEnd"/>
            <w:r w:rsidRPr="007B096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№116 от 25.03.2014 "Об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      </w:r>
          </w:p>
          <w:p w:rsidR="00744D92" w:rsidRPr="00E16E72" w:rsidRDefault="00744D92" w:rsidP="004C70FD">
            <w:pPr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2. Допуск Исполнителей к работам должен осуществляться с отметкой в соответствующем журнале учёта.</w:t>
            </w:r>
          </w:p>
          <w:p w:rsidR="00744D92" w:rsidRPr="00744D92" w:rsidRDefault="004C70FD" w:rsidP="00744D92">
            <w:pPr>
              <w:ind w:firstLine="360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="00744D92" w:rsidRPr="00E16E72">
              <w:rPr>
                <w:rFonts w:ascii="Times New Roman" w:eastAsia="Times New Roman" w:hAnsi="Times New Roman" w:cs="Times New Roman"/>
                <w:sz w:val="26"/>
                <w:szCs w:val="26"/>
              </w:rPr>
              <w:t>Между исполнителем и заказчиком должно быть заключено соглашение о конфиденциальности.</w:t>
            </w:r>
          </w:p>
        </w:tc>
      </w:tr>
      <w:tr w:rsidR="00B857B3" w:rsidRPr="00B53BA7" w:rsidTr="00D34526">
        <w:trPr>
          <w:trHeight w:val="29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B857B3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B857B3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57B3" w:rsidRPr="00B53BA7" w:rsidRDefault="00B857B3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34526" w:rsidRPr="00B53BA7" w:rsidTr="00D34526">
        <w:trPr>
          <w:trHeight w:val="24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4526" w:rsidRPr="00B53BA7" w:rsidRDefault="00D34526" w:rsidP="00061D07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4526" w:rsidRDefault="00C65A0F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2.5</w:t>
            </w:r>
            <w:r w:rsidR="00D345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Т</w:t>
            </w:r>
            <w:r w:rsidR="00D34526" w:rsidRPr="00D345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ребования  к поставляемому оборудованию.</w:t>
            </w:r>
          </w:p>
          <w:p w:rsidR="00D34526" w:rsidRDefault="00D34526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34526" w:rsidRPr="00B53BA7" w:rsidRDefault="00D34526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DF5" w:rsidRPr="0010770E" w:rsidRDefault="00B84DF5" w:rsidP="00B84DF5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материалам определяются утвержденн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документацией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4DF5" w:rsidRDefault="00B84DF5" w:rsidP="00B84DF5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Российским стандартам и нормативным документам, действующим на момент заключения договора.</w:t>
            </w:r>
          </w:p>
          <w:p w:rsidR="00B84DF5" w:rsidRDefault="00B84DF5" w:rsidP="00B84DF5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новым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ранее неиспользованным и сертифицированным.</w:t>
            </w:r>
          </w:p>
          <w:p w:rsidR="00B84DF5" w:rsidRPr="0010770E" w:rsidRDefault="00B84DF5" w:rsidP="00B84DF5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>Вся техническая документация передаваемая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одрядчиком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выполняется на русском языке.</w:t>
            </w:r>
          </w:p>
          <w:p w:rsidR="00B84DF5" w:rsidRPr="00C65A0F" w:rsidRDefault="00B84DF5" w:rsidP="00C65A0F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транспортировке 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</w:t>
            </w:r>
            <w:proofErr w:type="spellStart"/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защищён</w:t>
            </w:r>
            <w:r w:rsidR="004C70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10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воздействия атмосферных осадков и брызг воды, загрязнений, вибрации и ударов.</w:t>
            </w:r>
          </w:p>
          <w:p w:rsidR="00D34526" w:rsidRPr="004C70FD" w:rsidRDefault="004C70FD" w:rsidP="004C70FD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  <w:r w:rsidR="0088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88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удовлетворять требованиям технических регламентов таможенного союза.</w:t>
            </w:r>
          </w:p>
        </w:tc>
      </w:tr>
      <w:tr w:rsidR="00B857B3" w:rsidRPr="00B53BA7" w:rsidTr="00D34526">
        <w:trPr>
          <w:trHeight w:val="24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857B3" w:rsidRPr="00B53BA7" w:rsidRDefault="00D34526" w:rsidP="00061D07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  <w:r w:rsidR="00C65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B857B3" w:rsidP="00BE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Требования к условиям гарантийного и послегарантийного обслуживания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7B3" w:rsidRPr="00B53BA7" w:rsidRDefault="00B857B3" w:rsidP="00E0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Исполнитель обязан выполнить работы в сроки, указанные в п.1.6 в соответствии с тре</w:t>
            </w:r>
            <w:r w:rsidR="004C7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бованиями утвержденной проектной</w:t>
            </w: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документаци</w:t>
            </w:r>
            <w:r w:rsidR="004C7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ей</w:t>
            </w: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НТД и обеспечить устранение за свой счет выявленных д</w:t>
            </w:r>
            <w:r w:rsidR="004C7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ефектов, ошибок выполнения СМР </w:t>
            </w: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согласованные Заказчиком сроки; </w:t>
            </w:r>
          </w:p>
          <w:p w:rsidR="00B857B3" w:rsidRPr="00B53BA7" w:rsidRDefault="00B857B3" w:rsidP="00E0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857B3" w:rsidRPr="00B53BA7" w:rsidRDefault="008C5820" w:rsidP="00E04FBB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В соответствии со ст. 756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ГК РФ гарантии на выполнение </w:t>
            </w:r>
            <w:r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</w:t>
            </w:r>
            <w:r w:rsidR="00A72AAF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составляют 60 </w:t>
            </w:r>
            <w:r w:rsidR="00B857B3" w:rsidRPr="00B5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месяцев.</w:t>
            </w:r>
          </w:p>
        </w:tc>
      </w:tr>
    </w:tbl>
    <w:p w:rsidR="0090156C" w:rsidRPr="00B53BA7" w:rsidRDefault="009F2561" w:rsidP="004512EC">
      <w:pPr>
        <w:shd w:val="clear" w:color="auto" w:fill="FFFFFF"/>
        <w:spacing w:before="5" w:line="264" w:lineRule="exact"/>
        <w:rPr>
          <w:rFonts w:ascii="Times New Roman" w:hAnsi="Times New Roman" w:cs="Times New Roman"/>
          <w:sz w:val="26"/>
          <w:szCs w:val="26"/>
        </w:rPr>
      </w:pPr>
      <w:r w:rsidRPr="00B53BA7">
        <w:rPr>
          <w:rFonts w:ascii="Times New Roman" w:hAnsi="Times New Roman" w:cs="Times New Roman"/>
          <w:sz w:val="26"/>
          <w:szCs w:val="26"/>
        </w:rPr>
        <w:t>*Технические требования на выполнение СМР указаны в ч.1</w:t>
      </w:r>
      <w:bookmarkStart w:id="0" w:name="_GoBack"/>
      <w:bookmarkEnd w:id="0"/>
    </w:p>
    <w:sectPr w:rsidR="0090156C" w:rsidRPr="00B53BA7" w:rsidSect="00D565FC">
      <w:footerReference w:type="default" r:id="rId12"/>
      <w:pgSz w:w="12240" w:h="15840" w:code="1"/>
      <w:pgMar w:top="851" w:right="1440" w:bottom="567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25" w:rsidRDefault="001B1C25" w:rsidP="003300A1">
      <w:pPr>
        <w:spacing w:after="0" w:line="240" w:lineRule="auto"/>
      </w:pPr>
      <w:r>
        <w:separator/>
      </w:r>
    </w:p>
  </w:endnote>
  <w:endnote w:type="continuationSeparator" w:id="0">
    <w:p w:rsidR="001B1C25" w:rsidRDefault="001B1C25" w:rsidP="0033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108" w:type="dxa"/>
      <w:tblLook w:val="04A0" w:firstRow="1" w:lastRow="0" w:firstColumn="1" w:lastColumn="0" w:noHBand="0" w:noVBand="1"/>
    </w:tblPr>
    <w:tblGrid>
      <w:gridCol w:w="7655"/>
      <w:gridCol w:w="2410"/>
    </w:tblGrid>
    <w:tr w:rsidR="005116A3" w:rsidRPr="00C6421A" w:rsidTr="003F4B87">
      <w:trPr>
        <w:trHeight w:val="277"/>
      </w:trPr>
      <w:tc>
        <w:tcPr>
          <w:tcW w:w="765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0C7C72" w:rsidRPr="000C7C72" w:rsidRDefault="005116A3" w:rsidP="000C7C72">
          <w:pPr>
            <w:spacing w:after="0" w:line="240" w:lineRule="auto"/>
            <w:outlineLvl w:val="0"/>
            <w:rPr>
              <w:sz w:val="16"/>
              <w:szCs w:val="16"/>
            </w:rPr>
          </w:pPr>
          <w:r w:rsidRPr="00CD1146">
            <w:rPr>
              <w:sz w:val="16"/>
              <w:szCs w:val="16"/>
            </w:rPr>
            <w:t>Наименование лота</w:t>
          </w:r>
          <w:r w:rsidRPr="0047619F">
            <w:rPr>
              <w:sz w:val="16"/>
              <w:szCs w:val="16"/>
            </w:rPr>
            <w:t xml:space="preserve">: </w:t>
          </w:r>
          <w:r w:rsidR="0047619F" w:rsidRPr="0047619F">
            <w:rPr>
              <w:sz w:val="16"/>
              <w:szCs w:val="16"/>
            </w:rPr>
            <w:t>«Замена подземных трубопроводов подпитки теплосети</w:t>
          </w:r>
          <w:r w:rsidR="000C7C72" w:rsidRPr="000C7C72">
            <w:rPr>
              <w:sz w:val="16"/>
              <w:szCs w:val="16"/>
            </w:rPr>
            <w:t>» (СМР)</w:t>
          </w:r>
          <w:r w:rsidR="000C7C72">
            <w:rPr>
              <w:sz w:val="16"/>
              <w:szCs w:val="16"/>
            </w:rPr>
            <w:t xml:space="preserve"> </w:t>
          </w:r>
          <w:r w:rsidR="000C7C72" w:rsidRPr="000C7C72">
            <w:rPr>
              <w:sz w:val="16"/>
              <w:szCs w:val="16"/>
            </w:rPr>
            <w:t>на ТЭЦ-26 – филиале ПАО «Мосэнерго».</w:t>
          </w:r>
        </w:p>
        <w:p w:rsidR="005116A3" w:rsidRPr="00C6421A" w:rsidRDefault="005116A3" w:rsidP="000C7C72">
          <w:pPr>
            <w:rPr>
              <w:rFonts w:ascii="Calibri" w:hAnsi="Calibri"/>
              <w:color w:val="000000"/>
              <w:sz w:val="16"/>
              <w:szCs w:val="16"/>
            </w:rPr>
          </w:pP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</w:tcPr>
        <w:p w:rsidR="0047619F" w:rsidRPr="0047619F" w:rsidRDefault="005116A3" w:rsidP="0047619F">
          <w:pPr>
            <w:spacing w:after="0" w:line="240" w:lineRule="auto"/>
            <w:rPr>
              <w:rFonts w:ascii="Calibri" w:hAnsi="Calibri"/>
              <w:color w:val="000000"/>
              <w:sz w:val="16"/>
              <w:szCs w:val="16"/>
            </w:rPr>
          </w:pPr>
          <w:r w:rsidRPr="00C6421A">
            <w:rPr>
              <w:rFonts w:ascii="Calibri" w:hAnsi="Calibri"/>
              <w:color w:val="000000"/>
              <w:sz w:val="16"/>
              <w:szCs w:val="16"/>
            </w:rPr>
            <w:t>№ проекта:</w:t>
          </w:r>
          <w:r>
            <w:rPr>
              <w:rFonts w:ascii="Calibri" w:hAnsi="Calibri"/>
              <w:color w:val="000000"/>
              <w:sz w:val="16"/>
              <w:szCs w:val="16"/>
            </w:rPr>
            <w:t xml:space="preserve"> </w:t>
          </w:r>
          <w:r w:rsidR="0047619F" w:rsidRPr="0047619F">
            <w:rPr>
              <w:rFonts w:ascii="Calibri" w:hAnsi="Calibri"/>
              <w:color w:val="000000"/>
              <w:sz w:val="16"/>
              <w:szCs w:val="16"/>
            </w:rPr>
            <w:t>M-2G2647-000037</w:t>
          </w:r>
        </w:p>
        <w:p w:rsidR="000C7C72" w:rsidRPr="000C7C72" w:rsidRDefault="000C7C72" w:rsidP="000C7C72">
          <w:pPr>
            <w:spacing w:after="0" w:line="240" w:lineRule="auto"/>
            <w:rPr>
              <w:rFonts w:ascii="Calibri" w:hAnsi="Calibri"/>
              <w:color w:val="000000"/>
              <w:sz w:val="16"/>
              <w:szCs w:val="16"/>
            </w:rPr>
          </w:pPr>
        </w:p>
        <w:p w:rsidR="005116A3" w:rsidRPr="00C6421A" w:rsidRDefault="005116A3" w:rsidP="00F040A5">
          <w:pPr>
            <w:rPr>
              <w:rFonts w:ascii="Calibri" w:hAnsi="Calibri"/>
              <w:color w:val="000000"/>
              <w:sz w:val="16"/>
              <w:szCs w:val="16"/>
            </w:rPr>
          </w:pPr>
        </w:p>
      </w:tc>
    </w:tr>
    <w:tr w:rsidR="005116A3" w:rsidRPr="00C6421A" w:rsidTr="00F648C0">
      <w:trPr>
        <w:trHeight w:val="261"/>
      </w:trPr>
      <w:tc>
        <w:tcPr>
          <w:tcW w:w="765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:rsidR="005116A3" w:rsidRPr="00C6421A" w:rsidRDefault="005116A3" w:rsidP="00BE124B">
          <w:pPr>
            <w:rPr>
              <w:rFonts w:ascii="Calibri" w:hAnsi="Calibri"/>
              <w:color w:val="000000"/>
              <w:sz w:val="16"/>
              <w:szCs w:val="16"/>
            </w:rPr>
          </w:pP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</w:tcPr>
        <w:p w:rsidR="005116A3" w:rsidRPr="00C6421A" w:rsidRDefault="005116A3" w:rsidP="00BE124B">
          <w:pPr>
            <w:rPr>
              <w:rFonts w:ascii="Calibri" w:hAnsi="Calibri"/>
              <w:color w:val="000000"/>
              <w:sz w:val="16"/>
              <w:szCs w:val="16"/>
            </w:rPr>
          </w:pPr>
          <w:r w:rsidRPr="00C6421A">
            <w:rPr>
              <w:rFonts w:ascii="Calibri" w:hAnsi="Calibri"/>
              <w:color w:val="000000"/>
              <w:sz w:val="16"/>
              <w:szCs w:val="16"/>
            </w:rPr>
            <w:t>Филиал</w:t>
          </w:r>
          <w:r w:rsidRPr="00C6421A">
            <w:rPr>
              <w:rFonts w:ascii="Calibri" w:hAnsi="Calibri"/>
              <w:color w:val="000000"/>
              <w:sz w:val="16"/>
              <w:szCs w:val="16"/>
              <w:lang w:val="en-US"/>
            </w:rPr>
            <w:t xml:space="preserve"> </w:t>
          </w:r>
          <w:r w:rsidR="00F040A5">
            <w:rPr>
              <w:rFonts w:ascii="Calibri" w:hAnsi="Calibri"/>
              <w:color w:val="000000"/>
              <w:sz w:val="16"/>
              <w:szCs w:val="16"/>
            </w:rPr>
            <w:t>ТЭЦ-26</w:t>
          </w:r>
        </w:p>
      </w:tc>
    </w:tr>
    <w:tr w:rsidR="005116A3" w:rsidRPr="00C6421A" w:rsidTr="003F4B87">
      <w:trPr>
        <w:trHeight w:val="177"/>
      </w:trPr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:rsidR="005116A3" w:rsidRPr="00AF20B6" w:rsidRDefault="005116A3" w:rsidP="004C70FD">
          <w:pPr>
            <w:rPr>
              <w:sz w:val="16"/>
              <w:szCs w:val="16"/>
            </w:rPr>
          </w:pPr>
          <w:r w:rsidRPr="00C6421A">
            <w:rPr>
              <w:sz w:val="16"/>
              <w:szCs w:val="16"/>
            </w:rPr>
            <w:t>ТЗ</w:t>
          </w:r>
          <w:r w:rsidRPr="0036563B">
            <w:rPr>
              <w:sz w:val="16"/>
              <w:szCs w:val="16"/>
            </w:rPr>
            <w:t xml:space="preserve"> </w:t>
          </w:r>
          <w:r w:rsidR="004C70FD">
            <w:rPr>
              <w:sz w:val="16"/>
              <w:szCs w:val="16"/>
            </w:rPr>
            <w:t>СМР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</w:tcPr>
        <w:p w:rsidR="005116A3" w:rsidRPr="00AF20B6" w:rsidRDefault="005116A3" w:rsidP="008A1572">
          <w:pPr>
            <w:rPr>
              <w:rFonts w:ascii="Calibri" w:hAnsi="Calibri"/>
              <w:color w:val="000000"/>
              <w:sz w:val="16"/>
              <w:szCs w:val="16"/>
            </w:rPr>
          </w:pPr>
          <w:r w:rsidRPr="00C6421A">
            <w:rPr>
              <w:rFonts w:ascii="Calibri" w:hAnsi="Calibri"/>
              <w:color w:val="000000"/>
              <w:sz w:val="16"/>
              <w:szCs w:val="16"/>
            </w:rPr>
            <w:t xml:space="preserve">стр. </w:t>
          </w:r>
          <w:r w:rsidR="006E0A98" w:rsidRPr="00C6421A">
            <w:rPr>
              <w:rFonts w:ascii="Calibri" w:hAnsi="Calibri"/>
              <w:color w:val="000000"/>
              <w:sz w:val="16"/>
              <w:szCs w:val="16"/>
            </w:rPr>
            <w:fldChar w:fldCharType="begin"/>
          </w:r>
          <w:r w:rsidRPr="00C6421A">
            <w:rPr>
              <w:rFonts w:ascii="Calibri" w:hAnsi="Calibri"/>
              <w:color w:val="000000"/>
              <w:sz w:val="16"/>
              <w:szCs w:val="16"/>
            </w:rPr>
            <w:instrText xml:space="preserve"> PAGE   \* MERGEFORMAT </w:instrText>
          </w:r>
          <w:r w:rsidR="006E0A98" w:rsidRPr="00C6421A">
            <w:rPr>
              <w:rFonts w:ascii="Calibri" w:hAnsi="Calibri"/>
              <w:color w:val="000000"/>
              <w:sz w:val="16"/>
              <w:szCs w:val="16"/>
            </w:rPr>
            <w:fldChar w:fldCharType="separate"/>
          </w:r>
          <w:r w:rsidR="004512EC">
            <w:rPr>
              <w:rFonts w:ascii="Calibri" w:hAnsi="Calibri"/>
              <w:noProof/>
              <w:color w:val="000000"/>
              <w:sz w:val="16"/>
              <w:szCs w:val="16"/>
            </w:rPr>
            <w:t>4</w:t>
          </w:r>
          <w:r w:rsidR="006E0A98" w:rsidRPr="00C6421A">
            <w:rPr>
              <w:rFonts w:ascii="Calibri" w:hAnsi="Calibri"/>
              <w:color w:val="000000"/>
              <w:sz w:val="16"/>
              <w:szCs w:val="16"/>
            </w:rPr>
            <w:fldChar w:fldCharType="end"/>
          </w:r>
          <w:r>
            <w:rPr>
              <w:rFonts w:ascii="Calibri" w:hAnsi="Calibri"/>
              <w:color w:val="000000"/>
              <w:sz w:val="16"/>
              <w:szCs w:val="16"/>
            </w:rPr>
            <w:t>/</w:t>
          </w:r>
          <w:r w:rsidR="008A1572">
            <w:rPr>
              <w:rFonts w:ascii="Calibri" w:hAnsi="Calibri"/>
              <w:color w:val="000000"/>
              <w:sz w:val="16"/>
              <w:szCs w:val="16"/>
            </w:rPr>
            <w:t>4</w:t>
          </w:r>
        </w:p>
      </w:tc>
    </w:tr>
  </w:tbl>
  <w:p w:rsidR="005116A3" w:rsidRDefault="005116A3" w:rsidP="00F648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25" w:rsidRDefault="001B1C25" w:rsidP="003300A1">
      <w:pPr>
        <w:spacing w:after="0" w:line="240" w:lineRule="auto"/>
      </w:pPr>
      <w:r>
        <w:separator/>
      </w:r>
    </w:p>
  </w:footnote>
  <w:footnote w:type="continuationSeparator" w:id="0">
    <w:p w:rsidR="001B1C25" w:rsidRDefault="001B1C25" w:rsidP="00330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D4A"/>
    <w:multiLevelType w:val="hybridMultilevel"/>
    <w:tmpl w:val="E22C3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DE9"/>
    <w:multiLevelType w:val="hybridMultilevel"/>
    <w:tmpl w:val="FC4EE912"/>
    <w:lvl w:ilvl="0" w:tplc="F5FAFCB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F4D4A"/>
    <w:multiLevelType w:val="hybridMultilevel"/>
    <w:tmpl w:val="867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161B7"/>
    <w:multiLevelType w:val="multilevel"/>
    <w:tmpl w:val="522E2B2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">
    <w:nsid w:val="4EFB4604"/>
    <w:multiLevelType w:val="hybridMultilevel"/>
    <w:tmpl w:val="89B68B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95EB5"/>
    <w:multiLevelType w:val="hybridMultilevel"/>
    <w:tmpl w:val="E1E23A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C14B7"/>
    <w:multiLevelType w:val="hybridMultilevel"/>
    <w:tmpl w:val="6366B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F0A14"/>
    <w:multiLevelType w:val="hybridMultilevel"/>
    <w:tmpl w:val="A7D2CF46"/>
    <w:lvl w:ilvl="0" w:tplc="EAE4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17067"/>
    <w:multiLevelType w:val="hybridMultilevel"/>
    <w:tmpl w:val="C436E57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67060B27"/>
    <w:multiLevelType w:val="hybridMultilevel"/>
    <w:tmpl w:val="D9341F4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677B1AFB"/>
    <w:multiLevelType w:val="hybridMultilevel"/>
    <w:tmpl w:val="71F6752E"/>
    <w:lvl w:ilvl="0" w:tplc="AB28A2B6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632724"/>
    <w:multiLevelType w:val="hybridMultilevel"/>
    <w:tmpl w:val="9E44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25616"/>
    <w:multiLevelType w:val="multilevel"/>
    <w:tmpl w:val="7188D1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8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4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  <w:num w:numId="12">
    <w:abstractNumId w:val="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156C"/>
    <w:rsid w:val="000226AD"/>
    <w:rsid w:val="00027C19"/>
    <w:rsid w:val="000345D7"/>
    <w:rsid w:val="00035721"/>
    <w:rsid w:val="0003709C"/>
    <w:rsid w:val="00061D07"/>
    <w:rsid w:val="000829BE"/>
    <w:rsid w:val="000912E8"/>
    <w:rsid w:val="000A3CCD"/>
    <w:rsid w:val="000B26E8"/>
    <w:rsid w:val="000C5859"/>
    <w:rsid w:val="000C7C72"/>
    <w:rsid w:val="000D03F0"/>
    <w:rsid w:val="000D0557"/>
    <w:rsid w:val="000F16BE"/>
    <w:rsid w:val="00132FC6"/>
    <w:rsid w:val="001350B2"/>
    <w:rsid w:val="00152DCA"/>
    <w:rsid w:val="001547CC"/>
    <w:rsid w:val="00166775"/>
    <w:rsid w:val="00190A7D"/>
    <w:rsid w:val="001954D7"/>
    <w:rsid w:val="001B1C25"/>
    <w:rsid w:val="001C1514"/>
    <w:rsid w:val="001C4E21"/>
    <w:rsid w:val="001E7CCF"/>
    <w:rsid w:val="001F6DED"/>
    <w:rsid w:val="00206F94"/>
    <w:rsid w:val="00231B2E"/>
    <w:rsid w:val="002429A0"/>
    <w:rsid w:val="00291C34"/>
    <w:rsid w:val="002D0531"/>
    <w:rsid w:val="002D5E7E"/>
    <w:rsid w:val="002F6B5B"/>
    <w:rsid w:val="0032207F"/>
    <w:rsid w:val="003300A1"/>
    <w:rsid w:val="003364D4"/>
    <w:rsid w:val="00351496"/>
    <w:rsid w:val="003828C7"/>
    <w:rsid w:val="003929E9"/>
    <w:rsid w:val="003A596E"/>
    <w:rsid w:val="003C3CD2"/>
    <w:rsid w:val="003E0F71"/>
    <w:rsid w:val="003E22B0"/>
    <w:rsid w:val="003F4B87"/>
    <w:rsid w:val="004008A5"/>
    <w:rsid w:val="004326C9"/>
    <w:rsid w:val="004512EC"/>
    <w:rsid w:val="0047619F"/>
    <w:rsid w:val="00491BE3"/>
    <w:rsid w:val="004A1637"/>
    <w:rsid w:val="004B67DA"/>
    <w:rsid w:val="004C4425"/>
    <w:rsid w:val="004C70FD"/>
    <w:rsid w:val="004D329C"/>
    <w:rsid w:val="004D3698"/>
    <w:rsid w:val="0050310B"/>
    <w:rsid w:val="005116A3"/>
    <w:rsid w:val="005236BE"/>
    <w:rsid w:val="00524962"/>
    <w:rsid w:val="00544808"/>
    <w:rsid w:val="0055306C"/>
    <w:rsid w:val="005656C7"/>
    <w:rsid w:val="005731BC"/>
    <w:rsid w:val="00580B2D"/>
    <w:rsid w:val="00587B8C"/>
    <w:rsid w:val="005A7F61"/>
    <w:rsid w:val="005B3EE9"/>
    <w:rsid w:val="005D26DA"/>
    <w:rsid w:val="005D41BE"/>
    <w:rsid w:val="005D4CFE"/>
    <w:rsid w:val="005E61C8"/>
    <w:rsid w:val="006009F7"/>
    <w:rsid w:val="006041C0"/>
    <w:rsid w:val="00613439"/>
    <w:rsid w:val="00617402"/>
    <w:rsid w:val="00617C67"/>
    <w:rsid w:val="00651C26"/>
    <w:rsid w:val="00661EE1"/>
    <w:rsid w:val="00681F3D"/>
    <w:rsid w:val="00684E26"/>
    <w:rsid w:val="00695663"/>
    <w:rsid w:val="006A50F9"/>
    <w:rsid w:val="006C444C"/>
    <w:rsid w:val="006E0A98"/>
    <w:rsid w:val="006E771E"/>
    <w:rsid w:val="00711493"/>
    <w:rsid w:val="00714FD6"/>
    <w:rsid w:val="00730681"/>
    <w:rsid w:val="00740911"/>
    <w:rsid w:val="00742F54"/>
    <w:rsid w:val="00743E77"/>
    <w:rsid w:val="00744D92"/>
    <w:rsid w:val="00746C8B"/>
    <w:rsid w:val="00770C53"/>
    <w:rsid w:val="00784CBA"/>
    <w:rsid w:val="00785076"/>
    <w:rsid w:val="007954B5"/>
    <w:rsid w:val="00797C7A"/>
    <w:rsid w:val="00797FBB"/>
    <w:rsid w:val="007A6445"/>
    <w:rsid w:val="007B096B"/>
    <w:rsid w:val="007D303F"/>
    <w:rsid w:val="007D5FAB"/>
    <w:rsid w:val="007E6A99"/>
    <w:rsid w:val="007F1A5F"/>
    <w:rsid w:val="007F3042"/>
    <w:rsid w:val="008039BA"/>
    <w:rsid w:val="00805247"/>
    <w:rsid w:val="00817541"/>
    <w:rsid w:val="00821274"/>
    <w:rsid w:val="00830CDB"/>
    <w:rsid w:val="00831497"/>
    <w:rsid w:val="00847364"/>
    <w:rsid w:val="00856C2B"/>
    <w:rsid w:val="0087183C"/>
    <w:rsid w:val="00881F11"/>
    <w:rsid w:val="0089016F"/>
    <w:rsid w:val="008911A1"/>
    <w:rsid w:val="008A1572"/>
    <w:rsid w:val="008A41BB"/>
    <w:rsid w:val="008A52DA"/>
    <w:rsid w:val="008C5820"/>
    <w:rsid w:val="008D4147"/>
    <w:rsid w:val="008D489C"/>
    <w:rsid w:val="008D54EC"/>
    <w:rsid w:val="008E105F"/>
    <w:rsid w:val="008E2C22"/>
    <w:rsid w:val="008F7C29"/>
    <w:rsid w:val="0090156C"/>
    <w:rsid w:val="00904421"/>
    <w:rsid w:val="0092223D"/>
    <w:rsid w:val="00923121"/>
    <w:rsid w:val="0093540F"/>
    <w:rsid w:val="00952546"/>
    <w:rsid w:val="009533AF"/>
    <w:rsid w:val="009612F4"/>
    <w:rsid w:val="009711FC"/>
    <w:rsid w:val="00977715"/>
    <w:rsid w:val="009A1A68"/>
    <w:rsid w:val="009B5CC2"/>
    <w:rsid w:val="009D07ED"/>
    <w:rsid w:val="009F0224"/>
    <w:rsid w:val="009F2561"/>
    <w:rsid w:val="009F742E"/>
    <w:rsid w:val="00A06C32"/>
    <w:rsid w:val="00A12A1E"/>
    <w:rsid w:val="00A1748E"/>
    <w:rsid w:val="00A17B18"/>
    <w:rsid w:val="00A3715F"/>
    <w:rsid w:val="00A5142A"/>
    <w:rsid w:val="00A515A9"/>
    <w:rsid w:val="00A72AAF"/>
    <w:rsid w:val="00A94FF7"/>
    <w:rsid w:val="00AB0205"/>
    <w:rsid w:val="00AB091D"/>
    <w:rsid w:val="00AC4B84"/>
    <w:rsid w:val="00AC6EA0"/>
    <w:rsid w:val="00AD1231"/>
    <w:rsid w:val="00AD549E"/>
    <w:rsid w:val="00AF20B6"/>
    <w:rsid w:val="00B23518"/>
    <w:rsid w:val="00B40257"/>
    <w:rsid w:val="00B410DE"/>
    <w:rsid w:val="00B53BA7"/>
    <w:rsid w:val="00B64A9A"/>
    <w:rsid w:val="00B84DF5"/>
    <w:rsid w:val="00B857B3"/>
    <w:rsid w:val="00B900C4"/>
    <w:rsid w:val="00B94FA2"/>
    <w:rsid w:val="00BA6968"/>
    <w:rsid w:val="00BA7558"/>
    <w:rsid w:val="00BB42D5"/>
    <w:rsid w:val="00BC0F26"/>
    <w:rsid w:val="00BD1C85"/>
    <w:rsid w:val="00BE124B"/>
    <w:rsid w:val="00BF1D55"/>
    <w:rsid w:val="00BF5176"/>
    <w:rsid w:val="00C20CDF"/>
    <w:rsid w:val="00C21DBD"/>
    <w:rsid w:val="00C2292E"/>
    <w:rsid w:val="00C53A4F"/>
    <w:rsid w:val="00C65A0F"/>
    <w:rsid w:val="00C76152"/>
    <w:rsid w:val="00C86CC4"/>
    <w:rsid w:val="00CA7612"/>
    <w:rsid w:val="00CB0BF0"/>
    <w:rsid w:val="00CB3C1C"/>
    <w:rsid w:val="00CC056B"/>
    <w:rsid w:val="00CD5CAF"/>
    <w:rsid w:val="00CE21ED"/>
    <w:rsid w:val="00CE41F9"/>
    <w:rsid w:val="00CE51A9"/>
    <w:rsid w:val="00D06BE3"/>
    <w:rsid w:val="00D34526"/>
    <w:rsid w:val="00D35E1C"/>
    <w:rsid w:val="00D565FC"/>
    <w:rsid w:val="00D96383"/>
    <w:rsid w:val="00DB290D"/>
    <w:rsid w:val="00DB7834"/>
    <w:rsid w:val="00DC201D"/>
    <w:rsid w:val="00DC7E68"/>
    <w:rsid w:val="00DD2592"/>
    <w:rsid w:val="00DD6022"/>
    <w:rsid w:val="00DD646C"/>
    <w:rsid w:val="00DE337C"/>
    <w:rsid w:val="00E03F77"/>
    <w:rsid w:val="00E04FBB"/>
    <w:rsid w:val="00E101A1"/>
    <w:rsid w:val="00E16E72"/>
    <w:rsid w:val="00E209E1"/>
    <w:rsid w:val="00E20BBE"/>
    <w:rsid w:val="00E21022"/>
    <w:rsid w:val="00E327F7"/>
    <w:rsid w:val="00E35909"/>
    <w:rsid w:val="00E35CFF"/>
    <w:rsid w:val="00E53EA5"/>
    <w:rsid w:val="00E55BB2"/>
    <w:rsid w:val="00E57AD3"/>
    <w:rsid w:val="00E926C3"/>
    <w:rsid w:val="00EA6FC2"/>
    <w:rsid w:val="00EB0A69"/>
    <w:rsid w:val="00ED5710"/>
    <w:rsid w:val="00EF13B4"/>
    <w:rsid w:val="00EF609C"/>
    <w:rsid w:val="00F040A5"/>
    <w:rsid w:val="00F335B8"/>
    <w:rsid w:val="00F4378B"/>
    <w:rsid w:val="00F648C0"/>
    <w:rsid w:val="00F666E8"/>
    <w:rsid w:val="00F73045"/>
    <w:rsid w:val="00F82220"/>
    <w:rsid w:val="00F8596A"/>
    <w:rsid w:val="00F863BA"/>
    <w:rsid w:val="00F8719A"/>
    <w:rsid w:val="00FA259E"/>
    <w:rsid w:val="00FB2BFC"/>
    <w:rsid w:val="00FE539C"/>
    <w:rsid w:val="00FE5905"/>
    <w:rsid w:val="00FF02E1"/>
    <w:rsid w:val="00F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56C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90156C"/>
    <w:pPr>
      <w:spacing w:after="120" w:line="240" w:lineRule="auto"/>
      <w:ind w:left="283"/>
      <w:jc w:val="both"/>
    </w:pPr>
  </w:style>
  <w:style w:type="character" w:customStyle="1" w:styleId="a5">
    <w:name w:val="Основной текст с отступом Знак"/>
    <w:basedOn w:val="a0"/>
    <w:link w:val="a4"/>
    <w:rsid w:val="0090156C"/>
    <w:rPr>
      <w:lang w:val="ru-RU"/>
    </w:rPr>
  </w:style>
  <w:style w:type="paragraph" w:styleId="a6">
    <w:name w:val="header"/>
    <w:basedOn w:val="a"/>
    <w:link w:val="a7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00A1"/>
    <w:rPr>
      <w:lang w:val="ru-RU"/>
    </w:rPr>
  </w:style>
  <w:style w:type="paragraph" w:styleId="a8">
    <w:name w:val="footer"/>
    <w:basedOn w:val="a"/>
    <w:link w:val="a9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00A1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3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0A1"/>
    <w:rPr>
      <w:rFonts w:ascii="Tahoma" w:hAnsi="Tahoma" w:cs="Tahoma"/>
      <w:sz w:val="16"/>
      <w:szCs w:val="16"/>
      <w:lang w:val="ru-RU"/>
    </w:rPr>
  </w:style>
  <w:style w:type="character" w:styleId="ac">
    <w:name w:val="annotation reference"/>
    <w:basedOn w:val="a0"/>
    <w:uiPriority w:val="99"/>
    <w:semiHidden/>
    <w:unhideWhenUsed/>
    <w:rsid w:val="00AD549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D549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D549E"/>
    <w:rPr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549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549E"/>
    <w:rPr>
      <w:b/>
      <w:bCs/>
      <w:sz w:val="20"/>
      <w:szCs w:val="20"/>
      <w:lang w:val="ru-RU"/>
    </w:rPr>
  </w:style>
  <w:style w:type="paragraph" w:styleId="af1">
    <w:name w:val="Revision"/>
    <w:hidden/>
    <w:uiPriority w:val="99"/>
    <w:semiHidden/>
    <w:rsid w:val="008E105F"/>
    <w:pPr>
      <w:spacing w:after="0" w:line="240" w:lineRule="auto"/>
    </w:pPr>
  </w:style>
  <w:style w:type="paragraph" w:customStyle="1" w:styleId="ConsPlusTitle">
    <w:name w:val="ConsPlusTitle"/>
    <w:uiPriority w:val="99"/>
    <w:rsid w:val="00E0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56C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90156C"/>
    <w:pPr>
      <w:spacing w:after="120" w:line="240" w:lineRule="auto"/>
      <w:ind w:left="283"/>
      <w:jc w:val="both"/>
    </w:pPr>
  </w:style>
  <w:style w:type="character" w:customStyle="1" w:styleId="a5">
    <w:name w:val="Основной текст с отступом Знак"/>
    <w:basedOn w:val="a0"/>
    <w:link w:val="a4"/>
    <w:rsid w:val="0090156C"/>
    <w:rPr>
      <w:lang w:val="ru-RU"/>
    </w:rPr>
  </w:style>
  <w:style w:type="paragraph" w:styleId="a6">
    <w:name w:val="header"/>
    <w:basedOn w:val="a"/>
    <w:link w:val="a7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00A1"/>
    <w:rPr>
      <w:lang w:val="ru-RU"/>
    </w:rPr>
  </w:style>
  <w:style w:type="paragraph" w:styleId="a8">
    <w:name w:val="footer"/>
    <w:basedOn w:val="a"/>
    <w:link w:val="a9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00A1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3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0A1"/>
    <w:rPr>
      <w:rFonts w:ascii="Tahoma" w:hAnsi="Tahoma" w:cs="Tahoma"/>
      <w:sz w:val="16"/>
      <w:szCs w:val="16"/>
      <w:lang w:val="ru-RU"/>
    </w:rPr>
  </w:style>
  <w:style w:type="character" w:styleId="ac">
    <w:name w:val="annotation reference"/>
    <w:basedOn w:val="a0"/>
    <w:uiPriority w:val="99"/>
    <w:semiHidden/>
    <w:unhideWhenUsed/>
    <w:rsid w:val="00AD549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D549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D549E"/>
    <w:rPr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549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549E"/>
    <w:rPr>
      <w:b/>
      <w:bCs/>
      <w:sz w:val="20"/>
      <w:szCs w:val="20"/>
      <w:lang w:val="ru-RU"/>
    </w:rPr>
  </w:style>
  <w:style w:type="paragraph" w:styleId="af1">
    <w:name w:val="Revision"/>
    <w:hidden/>
    <w:uiPriority w:val="99"/>
    <w:semiHidden/>
    <w:rsid w:val="008E105F"/>
    <w:pPr>
      <w:spacing w:after="0" w:line="240" w:lineRule="auto"/>
    </w:pPr>
  </w:style>
  <w:style w:type="paragraph" w:customStyle="1" w:styleId="ConsPlusTitle">
    <w:name w:val="ConsPlusTitle"/>
    <w:uiPriority w:val="99"/>
    <w:rsid w:val="00E0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5E402F43E4B5469A7D951186B98B61" ma:contentTypeVersion="0" ma:contentTypeDescription="Создание документа." ma:contentTypeScope="" ma:versionID="3e335684175fadc4c0044e6a715116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06435-F0BD-4D5B-B952-89E0CBEC0F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13F586-099B-4AED-9076-9C788B54C1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DA3DA8-72F3-456B-B2F9-D00967B62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C6A760-A4E3-4A98-B8EB-11A49079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VinogradovAV</dc:creator>
  <cp:lastModifiedBy>Игумнов Ярослав Игоревич</cp:lastModifiedBy>
  <cp:revision>3</cp:revision>
  <cp:lastPrinted>2013-02-10T15:58:00Z</cp:lastPrinted>
  <dcterms:created xsi:type="dcterms:W3CDTF">2016-07-29T11:21:00Z</dcterms:created>
  <dcterms:modified xsi:type="dcterms:W3CDTF">2016-08-16T13:30:00Z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0x010100775E402F43E4B5469A7D951186B98B61</vt:lpwstr>
  </property>
</Properties>
</file>